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 xml:space="preserve"> 寻甸县18岁以上居民可免费接种新冠疫苗！ 接种地点、流程公布</w:t>
      </w:r>
    </w:p>
    <w:p>
      <w:pPr>
        <w:widowControl/>
        <w:ind w:firstLine="500" w:firstLineChars="200"/>
        <w:jc w:val="left"/>
      </w:pPr>
      <w:r>
        <w:rPr>
          <w:rFonts w:ascii="宋体" w:hAnsi="宋体" w:eastAsia="宋体" w:cs="宋体"/>
          <w:kern w:val="0"/>
          <w:sz w:val="25"/>
          <w:szCs w:val="25"/>
        </w:rPr>
        <w:t>接种新冠疫苗是常态化疫情防控期间预防新冠肺炎传染最方便有效的手段。为巩固当前疫情防控成果，建立起全人群免疫屏障，确保人民群众生命健康，</w:t>
      </w:r>
      <w:r>
        <w:rPr>
          <w:rFonts w:hint="eastAsia" w:ascii="宋体" w:hAnsi="宋体" w:eastAsia="宋体" w:cs="宋体"/>
          <w:kern w:val="0"/>
          <w:sz w:val="25"/>
          <w:szCs w:val="25"/>
        </w:rPr>
        <w:t>寻甸县</w:t>
      </w:r>
      <w:r>
        <w:rPr>
          <w:rFonts w:ascii="宋体" w:hAnsi="宋体" w:eastAsia="宋体" w:cs="宋体"/>
          <w:kern w:val="0"/>
          <w:sz w:val="25"/>
          <w:szCs w:val="25"/>
        </w:rPr>
        <w:t>将按</w:t>
      </w:r>
      <w:r>
        <w:rPr>
          <w:rFonts w:hint="eastAsia" w:ascii="宋体" w:hAnsi="宋体" w:eastAsia="宋体" w:cs="宋体"/>
          <w:kern w:val="0"/>
          <w:sz w:val="25"/>
          <w:szCs w:val="25"/>
        </w:rPr>
        <w:t>省市应对疫情防控指挥部部</w:t>
      </w:r>
      <w:r>
        <w:rPr>
          <w:rFonts w:ascii="宋体" w:hAnsi="宋体" w:eastAsia="宋体" w:cs="宋体"/>
          <w:kern w:val="0"/>
          <w:sz w:val="25"/>
          <w:szCs w:val="25"/>
        </w:rPr>
        <w:t>署</w:t>
      </w:r>
      <w:r>
        <w:rPr>
          <w:rFonts w:hint="eastAsia" w:ascii="宋体" w:hAnsi="宋体" w:eastAsia="宋体" w:cs="宋体"/>
          <w:kern w:val="0"/>
          <w:sz w:val="25"/>
          <w:szCs w:val="25"/>
        </w:rPr>
        <w:t>，</w:t>
      </w:r>
      <w:r>
        <w:rPr>
          <w:rFonts w:ascii="宋体" w:hAnsi="宋体" w:eastAsia="宋体" w:cs="宋体"/>
          <w:kern w:val="0"/>
          <w:sz w:val="25"/>
          <w:szCs w:val="25"/>
        </w:rPr>
        <w:t>有序推进新冠疫苗免费接种工作。</w:t>
      </w:r>
    </w:p>
    <w:p>
      <w:pPr>
        <w:pStyle w:val="5"/>
        <w:widowControl/>
        <w:spacing w:beforeAutospacing="0" w:afterAutospacing="0"/>
      </w:pPr>
      <w:r>
        <w:rPr>
          <w:sz w:val="25"/>
          <w:szCs w:val="25"/>
        </w:rPr>
        <w:t>       </w:t>
      </w:r>
      <w:r>
        <w:rPr>
          <w:rStyle w:val="7"/>
          <w:color w:val="FF0000"/>
          <w:sz w:val="25"/>
          <w:szCs w:val="25"/>
        </w:rPr>
        <w:t>接种对象：</w:t>
      </w:r>
      <w:r>
        <w:rPr>
          <w:sz w:val="25"/>
          <w:szCs w:val="25"/>
        </w:rPr>
        <w:t>年龄在</w:t>
      </w:r>
      <w:r>
        <w:rPr>
          <w:rStyle w:val="7"/>
          <w:color w:val="FF0000"/>
          <w:sz w:val="25"/>
          <w:szCs w:val="25"/>
        </w:rPr>
        <w:t>18</w:t>
      </w:r>
      <w:r>
        <w:rPr>
          <w:rStyle w:val="7"/>
          <w:color w:val="FF0000"/>
          <w:sz w:val="25"/>
          <w:szCs w:val="25"/>
        </w:rPr>
        <w:t>周岁及以上</w:t>
      </w:r>
      <w:r>
        <w:rPr>
          <w:sz w:val="25"/>
          <w:szCs w:val="25"/>
        </w:rPr>
        <w:t>的在</w:t>
      </w:r>
      <w:r>
        <w:rPr>
          <w:rFonts w:hint="eastAsia"/>
          <w:sz w:val="25"/>
          <w:szCs w:val="25"/>
        </w:rPr>
        <w:t>寻甸</w:t>
      </w:r>
      <w:r>
        <w:rPr>
          <w:sz w:val="25"/>
          <w:szCs w:val="25"/>
        </w:rPr>
        <w:t>居民</w:t>
      </w:r>
      <w:r>
        <w:rPr>
          <w:rFonts w:hint="eastAsia"/>
          <w:sz w:val="25"/>
          <w:szCs w:val="25"/>
          <w:lang w:eastAsia="zh-CN"/>
        </w:rPr>
        <w:t>（不限户籍）</w:t>
      </w:r>
    </w:p>
    <w:p>
      <w:pPr>
        <w:pStyle w:val="5"/>
        <w:widowControl/>
        <w:spacing w:beforeAutospacing="0" w:afterAutospacing="0"/>
        <w:rPr>
          <w:sz w:val="25"/>
          <w:szCs w:val="25"/>
        </w:rPr>
      </w:pPr>
      <w:r>
        <w:rPr>
          <w:sz w:val="25"/>
          <w:szCs w:val="25"/>
        </w:rPr>
        <w:t>     </w:t>
      </w:r>
      <w:r>
        <w:rPr>
          <w:color w:val="FF0000"/>
          <w:sz w:val="25"/>
          <w:szCs w:val="25"/>
        </w:rPr>
        <w:t> </w:t>
      </w:r>
      <w:r>
        <w:rPr>
          <w:rStyle w:val="7"/>
          <w:color w:val="FF0000"/>
          <w:sz w:val="25"/>
          <w:szCs w:val="25"/>
        </w:rPr>
        <w:t> </w:t>
      </w:r>
      <w:r>
        <w:rPr>
          <w:rStyle w:val="7"/>
          <w:color w:val="FF0000"/>
          <w:sz w:val="25"/>
          <w:szCs w:val="25"/>
        </w:rPr>
        <w:t>接种费用：</w:t>
      </w:r>
      <w:r>
        <w:rPr>
          <w:sz w:val="25"/>
          <w:szCs w:val="25"/>
        </w:rPr>
        <w:t>新冠疫苗实施</w:t>
      </w:r>
      <w:r>
        <w:rPr>
          <w:rStyle w:val="7"/>
          <w:color w:val="FF0000"/>
          <w:sz w:val="25"/>
          <w:szCs w:val="25"/>
        </w:rPr>
        <w:t>免费</w:t>
      </w:r>
      <w:r>
        <w:rPr>
          <w:sz w:val="25"/>
          <w:szCs w:val="25"/>
        </w:rPr>
        <w:t>接种政策，无需个人支付费用</w:t>
      </w:r>
    </w:p>
    <w:p>
      <w:pPr>
        <w:pStyle w:val="5"/>
        <w:widowControl/>
        <w:spacing w:beforeAutospacing="0" w:afterAutospacing="0"/>
      </w:pPr>
      <w:r>
        <w:rPr>
          <w:rFonts w:hint="eastAsia"/>
          <w:sz w:val="25"/>
          <w:szCs w:val="25"/>
          <w:lang w:eastAsia="zh-CN"/>
        </w:rPr>
        <w:t xml:space="preserve">     </w:t>
      </w:r>
      <w:r>
        <w:rPr>
          <w:rStyle w:val="7"/>
          <w:rFonts w:ascii="宋体" w:hAnsi="宋体" w:eastAsia="宋体" w:cs="宋体"/>
          <w:color w:val="FF0000"/>
          <w:kern w:val="0"/>
          <w:sz w:val="27"/>
          <w:szCs w:val="27"/>
        </w:rPr>
        <w:t>接种流程</w:t>
      </w:r>
      <w:r>
        <w:rPr>
          <w:rStyle w:val="7"/>
          <w:rFonts w:hint="eastAsia" w:ascii="宋体" w:hAnsi="宋体" w:eastAsia="宋体" w:cs="宋体"/>
          <w:color w:val="FF0000"/>
          <w:kern w:val="0"/>
          <w:sz w:val="27"/>
          <w:szCs w:val="27"/>
          <w:lang w:eastAsia="zh-CN"/>
        </w:rPr>
        <w:t>:</w:t>
      </w:r>
      <w:r>
        <w:rPr>
          <w:sz w:val="25"/>
          <w:szCs w:val="25"/>
        </w:rPr>
        <w:t>扫码、测温→确认身份、领表登记→医务人员告知注意事项→受种者签订预防接种知情同意书→体格检查→个人接种信息录入（扫描云南省居民电子健康卡个人二维码）→接种新冠疫苗→接种后留观30分钟→工作人员确认后离开。</w:t>
      </w: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ascii="PingFangTC-light" w:hAnsi="PingFangTC-light" w:eastAsia="PingFangTC-light" w:cs="PingFangTC-light"/>
          <w:color w:val="000000"/>
          <w:spacing w:val="15"/>
          <w:kern w:val="0"/>
          <w:sz w:val="27"/>
          <w:szCs w:val="27"/>
        </w:rPr>
      </w:pPr>
    </w:p>
    <w:p>
      <w:pPr>
        <w:widowControl/>
        <w:jc w:val="left"/>
        <w:rPr>
          <w:rStyle w:val="7"/>
          <w:rFonts w:hint="eastAsia" w:ascii="PingFangTC-light" w:hAnsi="PingFangTC-light" w:eastAsia="PingFangTC-light" w:cs="PingFangTC-light"/>
          <w:color w:val="000000"/>
          <w:spacing w:val="15"/>
          <w:kern w:val="0"/>
          <w:sz w:val="27"/>
          <w:szCs w:val="27"/>
          <w:lang w:eastAsia="zh-CN"/>
        </w:rPr>
      </w:pPr>
      <w:r>
        <w:rPr>
          <w:rStyle w:val="7"/>
          <w:rFonts w:ascii="PingFangTC-light" w:hAnsi="PingFangTC-light" w:eastAsia="PingFangTC-light" w:cs="PingFangTC-light"/>
          <w:color w:val="000000"/>
          <w:spacing w:val="15"/>
          <w:kern w:val="0"/>
          <w:sz w:val="27"/>
          <w:szCs w:val="27"/>
        </w:rPr>
        <w:t>云南省居民电子健康卡</w:t>
      </w:r>
      <w:r>
        <w:rPr>
          <w:rStyle w:val="7"/>
          <w:rFonts w:hint="eastAsia" w:ascii="PingFangTC-light" w:hAnsi="PingFangTC-light" w:eastAsia="PingFangTC-light" w:cs="PingFangTC-light"/>
          <w:color w:val="000000"/>
          <w:spacing w:val="15"/>
          <w:kern w:val="0"/>
          <w:sz w:val="27"/>
          <w:szCs w:val="27"/>
          <w:lang w:eastAsia="zh-CN"/>
        </w:rPr>
        <w:t>申领</w:t>
      </w:r>
    </w:p>
    <w:p>
      <w:pPr>
        <w:widowControl/>
        <w:jc w:val="left"/>
        <w:rPr>
          <w:rStyle w:val="7"/>
          <w:rFonts w:hint="eastAsia" w:ascii="PingFangTC-light" w:hAnsi="PingFangTC-light" w:eastAsia="PingFangTC-light" w:cs="PingFangTC-light"/>
          <w:color w:val="000000"/>
          <w:spacing w:val="15"/>
          <w:kern w:val="0"/>
          <w:sz w:val="27"/>
          <w:szCs w:val="27"/>
          <w:lang w:eastAsia="zh-CN"/>
        </w:rPr>
      </w:pPr>
    </w:p>
    <w:p>
      <w:pPr>
        <w:widowControl/>
        <w:jc w:val="left"/>
        <w:rPr>
          <w:rStyle w:val="7"/>
          <w:rFonts w:hint="eastAsia" w:ascii="PingFangTC-light" w:hAnsi="PingFangTC-light" w:eastAsia="PingFangTC-light" w:cs="PingFangTC-light"/>
          <w:color w:val="000000"/>
          <w:spacing w:val="15"/>
          <w:kern w:val="0"/>
          <w:sz w:val="27"/>
          <w:szCs w:val="27"/>
          <w:lang w:eastAsia="zh-CN"/>
        </w:rPr>
      </w:pPr>
    </w:p>
    <w:p>
      <w:pPr>
        <w:widowControl/>
        <w:jc w:val="left"/>
        <w:rPr>
          <w:rStyle w:val="7"/>
          <w:rFonts w:hint="eastAsia" w:ascii="PingFangTC-light" w:hAnsi="PingFangTC-light" w:eastAsia="PingFangTC-light" w:cs="PingFangTC-light"/>
          <w:color w:val="000000"/>
          <w:spacing w:val="15"/>
          <w:kern w:val="0"/>
          <w:sz w:val="27"/>
          <w:szCs w:val="27"/>
          <w:lang w:val="en-US" w:eastAsia="zh-CN"/>
        </w:rPr>
      </w:pP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257425" cy="3191510"/>
            <wp:effectExtent l="0" t="0" r="1905" b="1270"/>
            <wp:docPr id="3" name="图片 3" descr="2021-04-02 14:03:06.46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1-04-02 14:03:06.466000"/>
                    <pic:cNvPicPr>
                      <a:picLocks noChangeAspect="1"/>
                    </pic:cNvPicPr>
                  </pic:nvPicPr>
                  <pic:blipFill>
                    <a:blip r:embed="rId4"/>
                    <a:stretch>
                      <a:fillRect/>
                    </a:stretch>
                  </pic:blipFill>
                  <pic:spPr>
                    <a:xfrm>
                      <a:off x="0" y="0"/>
                      <a:ext cx="2257425" cy="3191510"/>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804795" cy="3965575"/>
            <wp:effectExtent l="0" t="0" r="3175" b="635"/>
            <wp:docPr id="4" name="图片 4" descr="2021-04-02 14:03:06.587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1-04-02 14:03:06.587000"/>
                    <pic:cNvPicPr>
                      <a:picLocks noChangeAspect="1"/>
                    </pic:cNvPicPr>
                  </pic:nvPicPr>
                  <pic:blipFill>
                    <a:blip r:embed="rId5"/>
                    <a:stretch>
                      <a:fillRect/>
                    </a:stretch>
                  </pic:blipFill>
                  <pic:spPr>
                    <a:xfrm>
                      <a:off x="0" y="0"/>
                      <a:ext cx="2804795" cy="3965575"/>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519045" cy="3561715"/>
            <wp:effectExtent l="0" t="0" r="3175" b="635"/>
            <wp:docPr id="5" name="图片 5" descr="2021-04-02 14:03:06.69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1-04-02 14:03:06.692000"/>
                    <pic:cNvPicPr>
                      <a:picLocks noChangeAspect="1"/>
                    </pic:cNvPicPr>
                  </pic:nvPicPr>
                  <pic:blipFill>
                    <a:blip r:embed="rId6"/>
                    <a:stretch>
                      <a:fillRect/>
                    </a:stretch>
                  </pic:blipFill>
                  <pic:spPr>
                    <a:xfrm>
                      <a:off x="0" y="0"/>
                      <a:ext cx="2519045" cy="3561715"/>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509520" cy="3548380"/>
            <wp:effectExtent l="0" t="0" r="1270" b="2540"/>
            <wp:docPr id="6" name="图片 6" descr="2021-04-02 14:03:06.78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021-04-02 14:03:06.785000"/>
                    <pic:cNvPicPr>
                      <a:picLocks noChangeAspect="1"/>
                    </pic:cNvPicPr>
                  </pic:nvPicPr>
                  <pic:blipFill>
                    <a:blip r:embed="rId7"/>
                    <a:stretch>
                      <a:fillRect/>
                    </a:stretch>
                  </pic:blipFill>
                  <pic:spPr>
                    <a:xfrm>
                      <a:off x="0" y="0"/>
                      <a:ext cx="2509520" cy="3548380"/>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445385" cy="3457575"/>
            <wp:effectExtent l="0" t="0" r="635" b="1905"/>
            <wp:docPr id="7" name="图片 7" descr="2021-04-02 14:03:06.86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021-04-02 14:03:06.868000"/>
                    <pic:cNvPicPr>
                      <a:picLocks noChangeAspect="1"/>
                    </pic:cNvPicPr>
                  </pic:nvPicPr>
                  <pic:blipFill>
                    <a:blip r:embed="rId8"/>
                    <a:stretch>
                      <a:fillRect/>
                    </a:stretch>
                  </pic:blipFill>
                  <pic:spPr>
                    <a:xfrm>
                      <a:off x="0" y="0"/>
                      <a:ext cx="2445385" cy="3457575"/>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779395" cy="3929380"/>
            <wp:effectExtent l="0" t="0" r="1905" b="2540"/>
            <wp:docPr id="8" name="图片 8" descr="2021-04-02 14:03:06.96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21-04-02 14:03:06.965000"/>
                    <pic:cNvPicPr>
                      <a:picLocks noChangeAspect="1"/>
                    </pic:cNvPicPr>
                  </pic:nvPicPr>
                  <pic:blipFill>
                    <a:blip r:embed="rId9"/>
                    <a:stretch>
                      <a:fillRect/>
                    </a:stretch>
                  </pic:blipFill>
                  <pic:spPr>
                    <a:xfrm>
                      <a:off x="0" y="0"/>
                      <a:ext cx="2779395" cy="3929380"/>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428875" cy="3435350"/>
            <wp:effectExtent l="0" t="0" r="1905" b="1270"/>
            <wp:docPr id="9" name="图片 9" descr="2021-04-02 14:03:07.08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21-04-02 14:03:07.088000"/>
                    <pic:cNvPicPr>
                      <a:picLocks noChangeAspect="1"/>
                    </pic:cNvPicPr>
                  </pic:nvPicPr>
                  <pic:blipFill>
                    <a:blip r:embed="rId10"/>
                    <a:stretch>
                      <a:fillRect/>
                    </a:stretch>
                  </pic:blipFill>
                  <pic:spPr>
                    <a:xfrm>
                      <a:off x="0" y="0"/>
                      <a:ext cx="2428875" cy="3435350"/>
                    </a:xfrm>
                    <a:prstGeom prst="rect">
                      <a:avLst/>
                    </a:prstGeom>
                  </pic:spPr>
                </pic:pic>
              </a:graphicData>
            </a:graphic>
          </wp:inline>
        </w:drawing>
      </w:r>
      <w:r>
        <w:rPr>
          <w:rStyle w:val="7"/>
          <w:rFonts w:hint="eastAsia" w:ascii="PingFangTC-light" w:hAnsi="PingFangTC-light" w:eastAsia="PingFangTC-light" w:cs="PingFangTC-light"/>
          <w:color w:val="000000"/>
          <w:spacing w:val="15"/>
          <w:kern w:val="0"/>
          <w:sz w:val="27"/>
          <w:szCs w:val="27"/>
          <w:lang w:val="en-US" w:eastAsia="zh-CN"/>
        </w:rPr>
        <w:drawing>
          <wp:inline distT="0" distB="0" distL="114300" distR="114300">
            <wp:extent cx="2804795" cy="3965575"/>
            <wp:effectExtent l="0" t="0" r="3175" b="635"/>
            <wp:docPr id="10" name="图片 10" descr="2021-04-02 14:03:07.17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21-04-02 14:03:07.178000"/>
                    <pic:cNvPicPr>
                      <a:picLocks noChangeAspect="1"/>
                    </pic:cNvPicPr>
                  </pic:nvPicPr>
                  <pic:blipFill>
                    <a:blip r:embed="rId11"/>
                    <a:stretch>
                      <a:fillRect/>
                    </a:stretch>
                  </pic:blipFill>
                  <pic:spPr>
                    <a:xfrm>
                      <a:off x="0" y="0"/>
                      <a:ext cx="2804795" cy="3965575"/>
                    </a:xfrm>
                    <a:prstGeom prst="rect">
                      <a:avLst/>
                    </a:prstGeom>
                  </pic:spPr>
                </pic:pic>
              </a:graphicData>
            </a:graphic>
          </wp:inline>
        </w:drawing>
      </w:r>
    </w:p>
    <w:p>
      <w:pPr>
        <w:pStyle w:val="5"/>
        <w:widowControl/>
        <w:spacing w:beforeAutospacing="0" w:afterAutospacing="0"/>
        <w:jc w:val="center"/>
      </w:pPr>
    </w:p>
    <w:p>
      <w:pPr>
        <w:widowControl/>
        <w:jc w:val="left"/>
      </w:pPr>
    </w:p>
    <w:p>
      <w:pPr>
        <w:pStyle w:val="5"/>
        <w:widowControl/>
        <w:spacing w:beforeAutospacing="0" w:afterAutospacing="0"/>
        <w:rPr>
          <w:rStyle w:val="7"/>
          <w:color w:val="FF0000"/>
          <w:sz w:val="27"/>
          <w:szCs w:val="27"/>
        </w:rPr>
      </w:pPr>
    </w:p>
    <w:p>
      <w:pPr>
        <w:pStyle w:val="5"/>
        <w:widowControl/>
        <w:spacing w:beforeAutospacing="0" w:afterAutospacing="0"/>
      </w:pPr>
      <w:r>
        <w:rPr>
          <w:rStyle w:val="7"/>
          <w:color w:val="FF0000"/>
          <w:sz w:val="27"/>
          <w:szCs w:val="27"/>
        </w:rPr>
        <w:t>接种前注意事项</w:t>
      </w:r>
    </w:p>
    <w:p>
      <w:pPr>
        <w:pStyle w:val="5"/>
        <w:widowControl/>
        <w:spacing w:beforeAutospacing="0" w:afterAutospacing="0"/>
        <w:rPr>
          <w:rFonts w:hint="eastAsia"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lang w:eastAsia="zh-CN"/>
        </w:rPr>
        <w:t>1.</w:t>
      </w:r>
      <w:r>
        <w:rPr>
          <w:rFonts w:hint="eastAsia" w:ascii="微软雅黑" w:hAnsi="微软雅黑" w:eastAsia="微软雅黑" w:cs="微软雅黑"/>
          <w:color w:val="000000"/>
          <w:spacing w:val="8"/>
          <w:sz w:val="25"/>
          <w:szCs w:val="25"/>
        </w:rPr>
        <w:t>通过微信小程序注册填报云南省居民电子健康卡，你的提前准备会为你节约不少接种信息录入时间。</w:t>
      </w:r>
    </w:p>
    <w:p>
      <w:pPr>
        <w:pStyle w:val="5"/>
        <w:widowControl/>
        <w:spacing w:beforeAutospacing="0" w:afterAutospacing="0"/>
        <w:rPr>
          <w:rFonts w:hint="eastAsia" w:ascii="微软雅黑" w:hAnsi="微软雅黑" w:eastAsia="微软雅黑" w:cs="微软雅黑"/>
          <w:color w:val="000000"/>
          <w:spacing w:val="8"/>
          <w:sz w:val="25"/>
          <w:szCs w:val="25"/>
          <w:shd w:val="clear" w:color="auto" w:fill="FFFFFF"/>
          <w:lang w:eastAsia="zh-CN"/>
        </w:rPr>
      </w:pPr>
      <w:r>
        <w:rPr>
          <w:rFonts w:hint="eastAsia" w:ascii="微软雅黑" w:hAnsi="微软雅黑" w:eastAsia="微软雅黑" w:cs="微软雅黑"/>
          <w:color w:val="000000"/>
          <w:spacing w:val="8"/>
          <w:sz w:val="25"/>
          <w:szCs w:val="25"/>
          <w:shd w:val="clear" w:color="auto" w:fill="FFFFFF"/>
          <w:lang w:eastAsia="zh-CN"/>
        </w:rPr>
        <w:t>2.</w:t>
      </w:r>
      <w:r>
        <w:rPr>
          <w:rFonts w:hint="eastAsia" w:ascii="微软雅黑" w:hAnsi="微软雅黑" w:eastAsia="微软雅黑" w:cs="微软雅黑"/>
          <w:color w:val="000000"/>
          <w:spacing w:val="8"/>
          <w:sz w:val="25"/>
          <w:szCs w:val="25"/>
          <w:shd w:val="clear" w:color="auto" w:fill="FFFFFF"/>
        </w:rPr>
        <w:t>个人佩戴口罩、携带身份证</w:t>
      </w:r>
      <w:r>
        <w:rPr>
          <w:rFonts w:hint="eastAsia" w:ascii="微软雅黑" w:hAnsi="微软雅黑" w:eastAsia="微软雅黑" w:cs="微软雅黑"/>
          <w:color w:val="000000"/>
          <w:spacing w:val="8"/>
          <w:sz w:val="25"/>
          <w:szCs w:val="25"/>
          <w:shd w:val="clear" w:color="auto" w:fill="FFFFFF"/>
          <w:lang w:eastAsia="zh-CN"/>
        </w:rPr>
        <w:t>，</w:t>
      </w:r>
      <w:r>
        <w:rPr>
          <w:rFonts w:hint="eastAsia" w:ascii="微软雅黑" w:hAnsi="微软雅黑" w:eastAsia="微软雅黑" w:cs="微软雅黑"/>
          <w:color w:val="000000"/>
          <w:spacing w:val="8"/>
          <w:sz w:val="25"/>
          <w:szCs w:val="25"/>
          <w:shd w:val="clear" w:color="auto" w:fill="FFFFFF"/>
        </w:rPr>
        <w:t>申报云南健康码</w:t>
      </w:r>
      <w:r>
        <w:rPr>
          <w:rFonts w:hint="eastAsia" w:ascii="微软雅黑" w:hAnsi="微软雅黑" w:eastAsia="微软雅黑" w:cs="微软雅黑"/>
          <w:color w:val="000000"/>
          <w:spacing w:val="8"/>
          <w:sz w:val="25"/>
          <w:szCs w:val="25"/>
          <w:shd w:val="clear" w:color="auto" w:fill="FFFFFF"/>
          <w:lang w:eastAsia="zh-CN"/>
        </w:rPr>
        <w:t>，</w:t>
      </w:r>
      <w:r>
        <w:rPr>
          <w:rFonts w:hint="eastAsia" w:ascii="微软雅黑" w:hAnsi="微软雅黑" w:eastAsia="微软雅黑" w:cs="微软雅黑"/>
          <w:color w:val="000000"/>
          <w:spacing w:val="8"/>
          <w:sz w:val="25"/>
          <w:szCs w:val="25"/>
          <w:shd w:val="clear" w:color="auto" w:fill="FFFFFF"/>
        </w:rPr>
        <w:t>接种当天穿宽松上衣，便于暴露上臂三角肌</w:t>
      </w:r>
      <w:r>
        <w:rPr>
          <w:rFonts w:hint="eastAsia" w:ascii="微软雅黑" w:hAnsi="微软雅黑" w:eastAsia="微软雅黑" w:cs="微软雅黑"/>
          <w:color w:val="000000"/>
          <w:spacing w:val="8"/>
          <w:sz w:val="25"/>
          <w:szCs w:val="25"/>
          <w:shd w:val="clear" w:color="auto" w:fill="FFFFFF"/>
          <w:lang w:eastAsia="zh-CN"/>
        </w:rPr>
        <w:t>。</w:t>
      </w:r>
    </w:p>
    <w:p>
      <w:pPr>
        <w:pStyle w:val="5"/>
        <w:widowControl/>
        <w:spacing w:beforeAutospacing="0" w:afterAutospacing="0"/>
        <w:rPr>
          <w:rFonts w:hint="eastAsia" w:ascii="微软雅黑" w:hAnsi="微软雅黑" w:eastAsia="微软雅黑" w:cs="微软雅黑"/>
          <w:color w:val="000000"/>
          <w:spacing w:val="8"/>
          <w:sz w:val="25"/>
          <w:szCs w:val="25"/>
          <w:shd w:val="clear" w:color="auto" w:fill="FFFFFF"/>
          <w:lang w:eastAsia="zh-CN"/>
        </w:rPr>
      </w:pPr>
      <w:r>
        <w:rPr>
          <w:rFonts w:hint="eastAsia" w:ascii="微软雅黑" w:hAnsi="微软雅黑" w:eastAsia="微软雅黑" w:cs="微软雅黑"/>
          <w:color w:val="000000"/>
          <w:spacing w:val="8"/>
          <w:sz w:val="25"/>
          <w:szCs w:val="25"/>
          <w:lang w:eastAsia="zh-CN"/>
        </w:rPr>
        <w:t>3.</w:t>
      </w:r>
      <w:r>
        <w:rPr>
          <w:rFonts w:hint="eastAsia" w:ascii="微软雅黑" w:hAnsi="微软雅黑" w:eastAsia="微软雅黑" w:cs="微软雅黑"/>
          <w:color w:val="000000"/>
          <w:spacing w:val="8"/>
          <w:sz w:val="25"/>
          <w:szCs w:val="25"/>
        </w:rPr>
        <w:t>充分了解自己的健康状况、过敏史、疾病史、既往有无疫苗反应等情况，主动向医务人员报告身体情况</w:t>
      </w:r>
      <w:r>
        <w:rPr>
          <w:rFonts w:hint="eastAsia" w:ascii="微软雅黑" w:hAnsi="微软雅黑" w:eastAsia="微软雅黑" w:cs="微软雅黑"/>
          <w:color w:val="000000"/>
          <w:spacing w:val="8"/>
          <w:sz w:val="25"/>
          <w:szCs w:val="25"/>
          <w:lang w:eastAsia="zh-CN"/>
        </w:rPr>
        <w:t>。</w:t>
      </w:r>
    </w:p>
    <w:p>
      <w:pPr>
        <w:widowControl/>
        <w:jc w:val="left"/>
      </w:pPr>
      <w:r>
        <w:rPr>
          <w:rFonts w:ascii="宋体" w:hAnsi="宋体" w:eastAsia="宋体" w:cs="宋体"/>
          <w:kern w:val="0"/>
          <w:sz w:val="24"/>
        </w:rPr>
        <w:br w:type="textWrapping"/>
      </w:r>
      <w:r>
        <w:rPr>
          <w:rStyle w:val="7"/>
          <w:rFonts w:ascii="宋体" w:hAnsi="宋体" w:eastAsia="宋体" w:cs="宋体"/>
          <w:color w:val="FF0000"/>
          <w:kern w:val="0"/>
          <w:sz w:val="27"/>
          <w:szCs w:val="27"/>
        </w:rPr>
        <w:t>接种中注意事项</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1.全程做好个人防护</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2.如实提供本人信息和健康状况</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3.配合接种工作人员</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4.确认第二针接种时间</w:t>
      </w:r>
    </w:p>
    <w:p>
      <w:pPr>
        <w:widowControl/>
        <w:jc w:val="left"/>
      </w:pPr>
    </w:p>
    <w:p>
      <w:pPr>
        <w:pStyle w:val="5"/>
        <w:widowControl/>
        <w:spacing w:beforeAutospacing="0" w:afterAutospacing="0"/>
      </w:pPr>
      <w:r>
        <w:rPr>
          <w:rStyle w:val="7"/>
          <w:color w:val="FF0000"/>
          <w:sz w:val="27"/>
          <w:szCs w:val="27"/>
        </w:rPr>
        <w:t>接种后注意事项</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1.留观30分钟，无异常才可离开</w:t>
      </w:r>
    </w:p>
    <w:p>
      <w:pPr>
        <w:pStyle w:val="5"/>
        <w:widowControl/>
        <w:spacing w:beforeAutospacing="0" w:afterAutospacing="0"/>
        <w:rPr>
          <w:rFonts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2.回家后出现高烧不退或持续不舒服，向接种点报告并及时就医</w:t>
      </w:r>
    </w:p>
    <w:p>
      <w:pPr>
        <w:pStyle w:val="5"/>
        <w:widowControl/>
        <w:spacing w:beforeAutospacing="0" w:afterAutospacing="0"/>
        <w:rPr>
          <w:rFonts w:hint="eastAsia" w:ascii="微软雅黑" w:hAnsi="微软雅黑" w:eastAsia="微软雅黑" w:cs="微软雅黑"/>
          <w:color w:val="000000"/>
          <w:spacing w:val="8"/>
          <w:sz w:val="25"/>
          <w:szCs w:val="25"/>
        </w:rPr>
      </w:pPr>
      <w:r>
        <w:rPr>
          <w:rFonts w:hint="eastAsia" w:ascii="微软雅黑" w:hAnsi="微软雅黑" w:eastAsia="微软雅黑" w:cs="微软雅黑"/>
          <w:color w:val="000000"/>
          <w:spacing w:val="8"/>
          <w:sz w:val="25"/>
          <w:szCs w:val="25"/>
        </w:rPr>
        <w:t>3.接种后</w:t>
      </w:r>
      <w:r>
        <w:rPr>
          <w:rFonts w:hint="eastAsia" w:ascii="微软雅黑" w:hAnsi="微软雅黑" w:eastAsia="微软雅黑" w:cs="微软雅黑"/>
          <w:color w:val="000000"/>
          <w:spacing w:val="8"/>
          <w:sz w:val="25"/>
          <w:szCs w:val="25"/>
          <w:lang w:eastAsia="zh-CN"/>
        </w:rPr>
        <w:t>出入重点场所</w:t>
      </w:r>
      <w:r>
        <w:rPr>
          <w:rFonts w:hint="eastAsia" w:ascii="微软雅黑" w:hAnsi="微软雅黑" w:eastAsia="微软雅黑" w:cs="微软雅黑"/>
          <w:color w:val="000000"/>
          <w:spacing w:val="8"/>
          <w:sz w:val="25"/>
          <w:szCs w:val="25"/>
        </w:rPr>
        <w:t>仍需做好个人防护</w:t>
      </w:r>
    </w:p>
    <w:p>
      <w:pPr>
        <w:pStyle w:val="5"/>
        <w:widowControl/>
        <w:spacing w:beforeAutospacing="0" w:afterAutospacing="0"/>
        <w:rPr>
          <w:rStyle w:val="7"/>
          <w:rFonts w:ascii="Times New Roman" w:hAnsi="Times New Roman" w:eastAsia="宋体"/>
          <w:color w:val="FF0000"/>
          <w:sz w:val="27"/>
          <w:szCs w:val="27"/>
        </w:rPr>
      </w:pPr>
      <w:bookmarkStart w:id="0" w:name="_GoBack"/>
      <w:bookmarkEnd w:id="0"/>
      <w:r>
        <w:rPr>
          <w:rStyle w:val="7"/>
          <w:rFonts w:hint="eastAsia" w:ascii="Times New Roman" w:hAnsi="Times New Roman" w:eastAsia="宋体"/>
          <w:color w:val="FF0000"/>
          <w:sz w:val="27"/>
          <w:szCs w:val="27"/>
        </w:rPr>
        <w:t>寻甸县开展新冠疫苗接种单位及联系方式</w:t>
      </w:r>
    </w:p>
    <w:tbl>
      <w:tblPr>
        <w:tblStyle w:val="8"/>
        <w:tblW w:w="9675" w:type="dxa"/>
        <w:tblInd w:w="78" w:type="dxa"/>
        <w:tblLayout w:type="fixed"/>
        <w:tblCellMar>
          <w:top w:w="0" w:type="dxa"/>
          <w:left w:w="108" w:type="dxa"/>
          <w:bottom w:w="0" w:type="dxa"/>
          <w:right w:w="108" w:type="dxa"/>
        </w:tblCellMar>
      </w:tblPr>
      <w:tblGrid>
        <w:gridCol w:w="658"/>
        <w:gridCol w:w="857"/>
        <w:gridCol w:w="675"/>
        <w:gridCol w:w="3133"/>
        <w:gridCol w:w="4352"/>
      </w:tblGrid>
      <w:tr>
        <w:tblPrEx>
          <w:tblLayout w:type="fixed"/>
          <w:tblCellMar>
            <w:top w:w="0" w:type="dxa"/>
            <w:left w:w="108" w:type="dxa"/>
            <w:bottom w:w="0" w:type="dxa"/>
            <w:right w:w="108" w:type="dxa"/>
          </w:tblCellMar>
        </w:tblPrEx>
        <w:trPr>
          <w:trHeight w:val="285"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方正仿宋_GBK" w:hAnsi="方正仿宋_GBK" w:eastAsia="方正仿宋_GBK"/>
                <w:b/>
                <w:color w:val="000000"/>
                <w:sz w:val="28"/>
              </w:rPr>
            </w:pPr>
            <w:r>
              <w:rPr>
                <w:rFonts w:hint="eastAsia" w:ascii="方正仿宋_GBK" w:hAnsi="方正仿宋_GBK" w:eastAsia="方正仿宋_GBK"/>
                <w:b/>
                <w:color w:val="000000"/>
                <w:sz w:val="28"/>
              </w:rPr>
              <w:t>序号</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方正仿宋_GBK" w:hAnsi="方正仿宋_GBK" w:eastAsia="方正仿宋_GBK"/>
                <w:b/>
                <w:color w:val="000000"/>
                <w:sz w:val="28"/>
              </w:rPr>
            </w:pPr>
            <w:r>
              <w:rPr>
                <w:rFonts w:hint="eastAsia" w:ascii="方正仿宋_GBK" w:hAnsi="方正仿宋_GBK" w:eastAsia="方正仿宋_GBK"/>
                <w:b/>
                <w:color w:val="000000"/>
                <w:sz w:val="28"/>
              </w:rPr>
              <w:t>州市</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方正仿宋_GBK" w:hAnsi="方正仿宋_GBK" w:eastAsia="方正仿宋_GBK"/>
                <w:b/>
                <w:color w:val="000000"/>
                <w:sz w:val="28"/>
              </w:rPr>
            </w:pPr>
            <w:r>
              <w:rPr>
                <w:rFonts w:hint="eastAsia" w:ascii="方正仿宋_GBK" w:hAnsi="方正仿宋_GBK" w:eastAsia="方正仿宋_GBK"/>
                <w:b/>
                <w:color w:val="000000"/>
                <w:sz w:val="28"/>
              </w:rPr>
              <w:t>县市区</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center"/>
              <w:rPr>
                <w:rFonts w:ascii="方正仿宋_GBK" w:hAnsi="方正仿宋_GBK" w:eastAsia="方正仿宋_GBK"/>
                <w:b/>
                <w:color w:val="000000"/>
                <w:sz w:val="28"/>
              </w:rPr>
            </w:pPr>
            <w:r>
              <w:rPr>
                <w:rFonts w:hint="eastAsia" w:ascii="方正仿宋_GBK" w:hAnsi="方正仿宋_GBK" w:eastAsia="方正仿宋_GBK"/>
                <w:b/>
                <w:color w:val="000000"/>
                <w:sz w:val="28"/>
              </w:rPr>
              <w:t>接种点名称</w:t>
            </w:r>
          </w:p>
        </w:tc>
        <w:tc>
          <w:tcPr>
            <w:tcW w:w="4352" w:type="dxa"/>
            <w:tcBorders>
              <w:top w:val="single" w:color="auto" w:sz="6" w:space="0"/>
              <w:left w:val="single" w:color="auto" w:sz="6" w:space="0"/>
              <w:bottom w:val="single" w:color="auto" w:sz="6" w:space="0"/>
              <w:right w:val="single" w:color="auto" w:sz="6" w:space="0"/>
              <w:tl2br w:val="nil"/>
              <w:tr2bl w:val="nil"/>
            </w:tcBorders>
          </w:tcPr>
          <w:p>
            <w:pPr>
              <w:jc w:val="center"/>
              <w:rPr>
                <w:rFonts w:ascii="方正仿宋_GBK" w:hAnsi="方正仿宋_GBK" w:eastAsia="方正仿宋_GBK"/>
                <w:b/>
                <w:color w:val="000000"/>
                <w:sz w:val="28"/>
              </w:rPr>
            </w:pPr>
            <w:r>
              <w:rPr>
                <w:rFonts w:hint="eastAsia" w:ascii="方正仿宋_GBK" w:hAnsi="方正仿宋_GBK" w:eastAsia="方正仿宋_GBK"/>
                <w:b/>
                <w:color w:val="000000"/>
                <w:sz w:val="28"/>
              </w:rPr>
              <w:t>联系电话</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甸沙</w:t>
            </w:r>
            <w:r>
              <w:rPr>
                <w:rFonts w:hint="eastAsia" w:ascii="仿宋_GB2312" w:hAnsi="仿宋_GB2312" w:eastAsia="仿宋_GB2312"/>
                <w:color w:val="000000"/>
                <w:sz w:val="22"/>
              </w:rPr>
              <w:t>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62762819</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2</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七星卫生院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w:t>
            </w:r>
            <w:r>
              <w:rPr>
                <w:rFonts w:hint="eastAsia" w:ascii="仿宋_GB2312" w:hAnsi="仿宋_GB2312" w:eastAsia="仿宋_GB2312"/>
                <w:color w:val="000000"/>
                <w:sz w:val="22"/>
              </w:rPr>
              <w:t>62651</w:t>
            </w:r>
            <w:r>
              <w:rPr>
                <w:rFonts w:hint="eastAsia" w:ascii="仿宋_GB2312" w:hAnsi="仿宋_GB2312" w:eastAsia="仿宋_GB2312"/>
                <w:color w:val="000000"/>
                <w:sz w:val="22"/>
              </w:rPr>
              <w:t>275</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3</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河口卫生院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-62669158</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4</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柯渡卫生院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-62783510</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5</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倘甸卫生院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-62766772</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6</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先锋卫生院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-62691985</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7</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六哨卫生院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-62764008</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8</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金所卫生院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-62731916</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9</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凤合卫生院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-62721020</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10</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塘子卫生院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-62781123</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11</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仁德卫生院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-62653064</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12</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联合卫生院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-62764299</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13</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羊街卫生院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-62741120</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14</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功山卫生院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-62784053</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15</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金源卫生院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w:t>
            </w:r>
            <w:r>
              <w:rPr>
                <w:rFonts w:hint="eastAsia" w:ascii="仿宋_GB2312" w:hAnsi="仿宋_GB2312" w:eastAsia="仿宋_GB2312"/>
                <w:color w:val="000000"/>
                <w:sz w:val="22"/>
              </w:rPr>
              <w:t>64875362</w:t>
            </w:r>
          </w:p>
        </w:tc>
      </w:tr>
      <w:tr>
        <w:tblPrEx>
          <w:tblLayout w:type="fixed"/>
          <w:tblCellMar>
            <w:top w:w="0" w:type="dxa"/>
            <w:left w:w="108" w:type="dxa"/>
            <w:bottom w:w="0" w:type="dxa"/>
            <w:right w:w="108" w:type="dxa"/>
          </w:tblCellMar>
        </w:tblPrEx>
        <w:trPr>
          <w:trHeight w:val="36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16</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鸡街卫生院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w:t>
            </w:r>
            <w:r>
              <w:rPr>
                <w:rFonts w:hint="eastAsia" w:ascii="仿宋_GB2312" w:hAnsi="仿宋_GB2312" w:eastAsia="仿宋_GB2312"/>
                <w:color w:val="000000"/>
                <w:sz w:val="22"/>
              </w:rPr>
              <w:t>62763090</w:t>
            </w:r>
          </w:p>
        </w:tc>
      </w:tr>
      <w:tr>
        <w:tblPrEx>
          <w:tblLayout w:type="fixed"/>
          <w:tblCellMar>
            <w:top w:w="0" w:type="dxa"/>
            <w:left w:w="108" w:type="dxa"/>
            <w:bottom w:w="0" w:type="dxa"/>
            <w:right w:w="108" w:type="dxa"/>
          </w:tblCellMar>
        </w:tblPrEx>
        <w:trPr>
          <w:trHeight w:val="520"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17</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仁德街道社区卫生服务中心月华路综合门诊</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-62652336</w:t>
            </w:r>
          </w:p>
        </w:tc>
      </w:tr>
      <w:tr>
        <w:tblPrEx>
          <w:tblLayout w:type="fixed"/>
          <w:tblCellMar>
            <w:top w:w="0" w:type="dxa"/>
            <w:left w:w="108" w:type="dxa"/>
            <w:bottom w:w="0" w:type="dxa"/>
            <w:right w:w="108" w:type="dxa"/>
          </w:tblCellMar>
        </w:tblPrEx>
        <w:trPr>
          <w:trHeight w:val="285"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18</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寻甸县第一人民医院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-62663209</w:t>
            </w:r>
          </w:p>
        </w:tc>
      </w:tr>
      <w:tr>
        <w:tblPrEx>
          <w:tblLayout w:type="fixed"/>
          <w:tblCellMar>
            <w:top w:w="0" w:type="dxa"/>
            <w:left w:w="108" w:type="dxa"/>
            <w:bottom w:w="0" w:type="dxa"/>
            <w:right w:w="108" w:type="dxa"/>
          </w:tblCellMar>
        </w:tblPrEx>
        <w:trPr>
          <w:trHeight w:val="285" w:hRule="atLeast"/>
        </w:trPr>
        <w:tc>
          <w:tcPr>
            <w:tcW w:w="658"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19</w:t>
            </w:r>
          </w:p>
        </w:tc>
        <w:tc>
          <w:tcPr>
            <w:tcW w:w="857"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昆明</w:t>
            </w:r>
          </w:p>
        </w:tc>
        <w:tc>
          <w:tcPr>
            <w:tcW w:w="675" w:type="dxa"/>
            <w:tcBorders>
              <w:top w:val="single" w:color="auto" w:sz="6" w:space="0"/>
              <w:left w:val="single" w:color="auto" w:sz="6" w:space="0"/>
              <w:bottom w:val="single" w:color="auto" w:sz="6" w:space="0"/>
              <w:right w:val="single" w:color="auto" w:sz="6" w:space="0"/>
              <w:tl2br w:val="nil"/>
              <w:tr2bl w:val="nil"/>
            </w:tcBorders>
          </w:tcPr>
          <w:p>
            <w:pPr>
              <w:jc w:val="center"/>
              <w:rPr>
                <w:rFonts w:ascii="仿宋_GB2312" w:hAnsi="仿宋_GB2312" w:eastAsia="仿宋_GB2312"/>
                <w:color w:val="000000"/>
                <w:sz w:val="22"/>
              </w:rPr>
            </w:pPr>
            <w:r>
              <w:rPr>
                <w:rFonts w:hint="eastAsia" w:ascii="仿宋_GB2312" w:hAnsi="仿宋_GB2312" w:eastAsia="仿宋_GB2312"/>
                <w:color w:val="000000"/>
                <w:sz w:val="22"/>
              </w:rPr>
              <w:t>寻甸</w:t>
            </w:r>
          </w:p>
        </w:tc>
        <w:tc>
          <w:tcPr>
            <w:tcW w:w="3133" w:type="dxa"/>
            <w:tcBorders>
              <w:top w:val="single" w:color="auto" w:sz="6" w:space="0"/>
              <w:left w:val="single" w:color="auto" w:sz="6" w:space="0"/>
              <w:bottom w:val="single" w:color="auto" w:sz="6" w:space="0"/>
              <w:right w:val="single" w:color="auto" w:sz="6" w:space="0"/>
              <w:tl2br w:val="nil"/>
              <w:tr2bl w:val="nil"/>
            </w:tcBorders>
          </w:tcPr>
          <w:p>
            <w:pPr>
              <w:jc w:val="left"/>
              <w:rPr>
                <w:rFonts w:ascii="仿宋_GB2312" w:hAnsi="仿宋_GB2312" w:eastAsia="仿宋_GB2312"/>
                <w:color w:val="000000"/>
                <w:sz w:val="22"/>
              </w:rPr>
            </w:pPr>
            <w:r>
              <w:rPr>
                <w:rFonts w:hint="eastAsia" w:ascii="仿宋_GB2312" w:hAnsi="仿宋_GB2312" w:eastAsia="仿宋_GB2312"/>
                <w:color w:val="000000"/>
                <w:sz w:val="22"/>
              </w:rPr>
              <w:t>寻甸县中医医院</w:t>
            </w:r>
          </w:p>
        </w:tc>
        <w:tc>
          <w:tcPr>
            <w:tcW w:w="4352" w:type="dxa"/>
            <w:tcBorders>
              <w:top w:val="single" w:color="auto" w:sz="6" w:space="0"/>
              <w:left w:val="single" w:color="auto" w:sz="6" w:space="0"/>
              <w:bottom w:val="single" w:color="auto" w:sz="6" w:space="0"/>
              <w:right w:val="single" w:color="auto" w:sz="6" w:space="0"/>
              <w:tl2br w:val="nil"/>
              <w:tr2bl w:val="nil"/>
            </w:tcBorders>
          </w:tcPr>
          <w:p>
            <w:pPr>
              <w:rPr>
                <w:rFonts w:ascii="仿宋_GB2312" w:hAnsi="仿宋_GB2312" w:eastAsia="仿宋_GB2312"/>
                <w:color w:val="000000"/>
                <w:sz w:val="22"/>
              </w:rPr>
            </w:pPr>
            <w:r>
              <w:rPr>
                <w:rFonts w:hint="eastAsia" w:ascii="仿宋_GB2312" w:hAnsi="仿宋_GB2312" w:eastAsia="仿宋_GB2312"/>
                <w:color w:val="000000"/>
                <w:sz w:val="22"/>
              </w:rPr>
              <w:t>0871</w:t>
            </w:r>
            <w:r>
              <w:rPr>
                <w:rFonts w:hint="eastAsia" w:ascii="仿宋_GB2312" w:hAnsi="仿宋_GB2312" w:eastAsia="仿宋_GB2312"/>
                <w:color w:val="000000"/>
                <w:sz w:val="22"/>
              </w:rPr>
              <w:t>-</w:t>
            </w:r>
            <w:r>
              <w:rPr>
                <w:rFonts w:hint="eastAsia" w:ascii="仿宋_GB2312" w:hAnsi="仿宋_GB2312" w:eastAsia="仿宋_GB2312"/>
                <w:color w:val="000000"/>
                <w:sz w:val="22"/>
              </w:rPr>
              <w:t>62666651</w:t>
            </w:r>
          </w:p>
        </w:tc>
      </w:tr>
    </w:tbl>
    <w:p>
      <w:pPr>
        <w:pStyle w:val="5"/>
        <w:widowControl/>
        <w:spacing w:beforeAutospacing="0" w:afterAutospacing="0"/>
        <w:rPr>
          <w:rFonts w:ascii="微软雅黑" w:hAnsi="微软雅黑" w:eastAsia="微软雅黑" w:cs="微软雅黑"/>
          <w:color w:val="000000"/>
          <w:spacing w:val="8"/>
          <w:sz w:val="25"/>
          <w:szCs w:val="25"/>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0" w:usb1="00000000" w:usb2="00000010" w:usb3="00000000" w:csb0="00040000" w:csb1="00000000"/>
  </w:font>
  <w:font w:name="微软雅黑">
    <w:panose1 w:val="020B0503020204020204"/>
    <w:charset w:val="86"/>
    <w:family w:val="swiss"/>
    <w:pitch w:val="default"/>
    <w:sig w:usb0="00000000" w:usb1="00000000" w:usb2="00000016" w:usb3="00000000" w:csb0="0004001F" w:csb1="00000000"/>
  </w:font>
  <w:font w:name="PingFangTC-light">
    <w:altName w:val="Times New Roman"/>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00000000"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9">
    <w:name w:val="批注框文本 Char"/>
    <w:basedOn w:val="6"/>
    <w:link w:val="2"/>
    <w:qFormat/>
    <w:uiPriority w:val="0"/>
    <w:rPr>
      <w:rFonts w:asciiTheme="minorHAnsi" w:hAnsiTheme="minorHAnsi" w:eastAsiaTheme="minorEastAsia" w:cstheme="minorBidi"/>
      <w:kern w:val="2"/>
      <w:sz w:val="18"/>
      <w:szCs w:val="18"/>
    </w:rPr>
  </w:style>
  <w:style w:type="character" w:customStyle="1" w:styleId="10">
    <w:name w:val="页眉 Char"/>
    <w:basedOn w:val="6"/>
    <w:link w:val="4"/>
    <w:qFormat/>
    <w:uiPriority w:val="0"/>
    <w:rPr>
      <w:rFonts w:asciiTheme="minorHAnsi" w:hAnsiTheme="minorHAnsi" w:eastAsiaTheme="minorEastAsia" w:cstheme="minorBidi"/>
      <w:kern w:val="2"/>
      <w:sz w:val="18"/>
      <w:szCs w:val="18"/>
    </w:rPr>
  </w:style>
  <w:style w:type="character" w:customStyle="1" w:styleId="11">
    <w:name w:val="页脚 Char"/>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5</Pages>
  <Words>190</Words>
  <Characters>1087</Characters>
  <Lines>9</Lines>
  <Paragraphs>2</Paragraphs>
  <TotalTime>0</TotalTime>
  <ScaleCrop>false</ScaleCrop>
  <LinksUpToDate>false</LinksUpToDate>
  <CharactersWithSpaces>1275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2021-03-31T17:49:00Z</dcterms:created>
  <dc:creator>Administrator</dc:creator>
  <cp:lastModifiedBy>杨海艳的 iPhone</cp:lastModifiedBy>
  <dcterms:modified xsi:type="dcterms:W3CDTF">2021-04-02T14:26:43Z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2052-11.6.0</vt:lpwstr>
  </property>
  <property fmtid="{D5CDD505-2E9C-101B-9397-08002B2CF9AE}" pid="3" name="ICV">
    <vt:lpwstr>A8FD13A7E3434CFDBB5757053EDCEAA1</vt:lpwstr>
  </property>
</Properties>
</file>